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856" w:rsidRDefault="00E64F95" w:rsidP="000A7B90">
      <w:pPr>
        <w:rPr>
          <w:rFonts w:ascii="Times New Roman" w:eastAsia="Calibri" w:hAnsi="Times New Roman" w:cs="Times New Roman"/>
        </w:rPr>
      </w:pPr>
    </w:p>
    <w:p w:rsidR="00C90F31" w:rsidRPr="00D7363C" w:rsidRDefault="00272F37" w:rsidP="00C90F31">
      <w:pPr>
        <w:rPr>
          <w:rFonts w:ascii="Times New Roman" w:eastAsia="Calibri" w:hAnsi="Times New Roman" w:cs="Times New Roman"/>
        </w:rPr>
      </w:pPr>
      <w:r w:rsidRPr="00D7363C">
        <w:rPr>
          <w:rFonts w:ascii="Times New Roman" w:eastAsia="Calibri" w:hAnsi="Times New Roman" w:cs="Times New Roman"/>
        </w:rPr>
        <w:t>December 2, 20</w:t>
      </w:r>
      <w:r>
        <w:rPr>
          <w:rFonts w:ascii="Times New Roman" w:eastAsia="Calibri" w:hAnsi="Times New Roman" w:cs="Times New Roman"/>
        </w:rPr>
        <w:t>14</w:t>
      </w:r>
    </w:p>
    <w:p w:rsidR="00C90F31" w:rsidRPr="00D7363C" w:rsidRDefault="00E64F95" w:rsidP="00C90F31">
      <w:pPr>
        <w:rPr>
          <w:rFonts w:ascii="Times New Roman" w:eastAsia="Calibri" w:hAnsi="Times New Roman" w:cs="Times New Roman"/>
        </w:rPr>
      </w:pPr>
    </w:p>
    <w:p w:rsidR="00C90F31" w:rsidRPr="00D7363C" w:rsidRDefault="00272F37" w:rsidP="00C90F31">
      <w:pPr>
        <w:rPr>
          <w:rFonts w:ascii="Times New Roman" w:eastAsia="Calibri" w:hAnsi="Times New Roman" w:cs="Times New Roman"/>
          <w:i/>
        </w:rPr>
      </w:pPr>
      <w:r w:rsidRPr="00D7363C">
        <w:rPr>
          <w:rFonts w:ascii="Times New Roman" w:eastAsia="Calibri" w:hAnsi="Times New Roman" w:cs="Times New Roman"/>
        </w:rPr>
        <w:t xml:space="preserve">Ms. Patrice Drew </w:t>
      </w:r>
    </w:p>
    <w:p w:rsidR="00C90F31" w:rsidRPr="00D7363C" w:rsidRDefault="00272F37" w:rsidP="00C90F31">
      <w:pPr>
        <w:rPr>
          <w:rFonts w:ascii="Times New Roman" w:eastAsia="Calibri" w:hAnsi="Times New Roman" w:cs="Times New Roman"/>
        </w:rPr>
      </w:pPr>
      <w:r w:rsidRPr="00D7363C">
        <w:rPr>
          <w:rFonts w:ascii="Times New Roman" w:eastAsia="Calibri" w:hAnsi="Times New Roman" w:cs="Times New Roman"/>
        </w:rPr>
        <w:t>Office of Inspector General</w:t>
      </w:r>
    </w:p>
    <w:p w:rsidR="00C90F31" w:rsidRPr="00D7363C" w:rsidRDefault="00272F37" w:rsidP="00C90F31">
      <w:pPr>
        <w:rPr>
          <w:rFonts w:ascii="Times New Roman" w:eastAsia="Calibri" w:hAnsi="Times New Roman" w:cs="Times New Roman"/>
        </w:rPr>
      </w:pPr>
      <w:r w:rsidRPr="00D7363C">
        <w:rPr>
          <w:rFonts w:ascii="Times New Roman" w:eastAsia="Calibri" w:hAnsi="Times New Roman" w:cs="Times New Roman"/>
        </w:rPr>
        <w:t>Department of Health and Human Services</w:t>
      </w:r>
    </w:p>
    <w:p w:rsidR="00C90F31" w:rsidRPr="00D7363C" w:rsidRDefault="00272F37" w:rsidP="00C90F31">
      <w:pPr>
        <w:rPr>
          <w:rFonts w:ascii="Times New Roman" w:eastAsia="Calibri" w:hAnsi="Times New Roman" w:cs="Times New Roman"/>
        </w:rPr>
      </w:pPr>
      <w:r w:rsidRPr="00D7363C">
        <w:rPr>
          <w:rFonts w:ascii="Times New Roman" w:eastAsia="Calibri" w:hAnsi="Times New Roman" w:cs="Times New Roman"/>
        </w:rPr>
        <w:t>Attention:  OIG-403-P3</w:t>
      </w:r>
    </w:p>
    <w:p w:rsidR="00C90F31" w:rsidRPr="00D7363C" w:rsidRDefault="00272F37" w:rsidP="00C90F31">
      <w:pPr>
        <w:rPr>
          <w:rFonts w:ascii="Times New Roman" w:eastAsia="Calibri" w:hAnsi="Times New Roman" w:cs="Times New Roman"/>
        </w:rPr>
      </w:pPr>
      <w:r w:rsidRPr="00D7363C">
        <w:rPr>
          <w:rFonts w:ascii="Times New Roman" w:eastAsia="Calibri" w:hAnsi="Times New Roman" w:cs="Times New Roman"/>
        </w:rPr>
        <w:t>Cohen Building</w:t>
      </w:r>
    </w:p>
    <w:p w:rsidR="00C90F31" w:rsidRPr="00D7363C" w:rsidRDefault="00272F37" w:rsidP="00C90F31">
      <w:pPr>
        <w:rPr>
          <w:rFonts w:ascii="Times New Roman" w:eastAsia="Calibri" w:hAnsi="Times New Roman" w:cs="Times New Roman"/>
        </w:rPr>
      </w:pPr>
      <w:r w:rsidRPr="00D7363C">
        <w:rPr>
          <w:rFonts w:ascii="Times New Roman" w:eastAsia="Calibri" w:hAnsi="Times New Roman" w:cs="Times New Roman"/>
        </w:rPr>
        <w:t>330 Independence Avenue SW</w:t>
      </w:r>
    </w:p>
    <w:p w:rsidR="00C90F31" w:rsidRPr="00D7363C" w:rsidRDefault="00272F37" w:rsidP="00C90F31">
      <w:pPr>
        <w:rPr>
          <w:rFonts w:ascii="Times New Roman" w:eastAsia="Calibri" w:hAnsi="Times New Roman" w:cs="Times New Roman"/>
        </w:rPr>
      </w:pPr>
      <w:r w:rsidRPr="00D7363C">
        <w:rPr>
          <w:rFonts w:ascii="Times New Roman" w:eastAsia="Calibri" w:hAnsi="Times New Roman" w:cs="Times New Roman"/>
        </w:rPr>
        <w:t>Room 5269</w:t>
      </w:r>
    </w:p>
    <w:p w:rsidR="00C90F31" w:rsidRDefault="00272F37" w:rsidP="00C90F31">
      <w:pPr>
        <w:rPr>
          <w:rFonts w:ascii="Times New Roman" w:eastAsia="Calibri" w:hAnsi="Times New Roman" w:cs="Times New Roman"/>
        </w:rPr>
      </w:pPr>
      <w:r w:rsidRPr="00D7363C">
        <w:rPr>
          <w:rFonts w:ascii="Times New Roman" w:eastAsia="Calibri" w:hAnsi="Times New Roman" w:cs="Times New Roman"/>
        </w:rPr>
        <w:t>Washington, DC  20201</w:t>
      </w:r>
    </w:p>
    <w:p w:rsidR="00D7363C" w:rsidRPr="00D7363C" w:rsidRDefault="00E64F95" w:rsidP="00C90F31">
      <w:pPr>
        <w:rPr>
          <w:rFonts w:ascii="Times New Roman" w:eastAsia="Calibri" w:hAnsi="Times New Roman" w:cs="Times New Roman"/>
        </w:rPr>
      </w:pPr>
    </w:p>
    <w:p w:rsidR="00C90F31" w:rsidRPr="00D7363C" w:rsidRDefault="00272F37" w:rsidP="00C90F31">
      <w:pPr>
        <w:ind w:left="1440"/>
        <w:rPr>
          <w:rFonts w:ascii="Times New Roman" w:eastAsia="Calibri" w:hAnsi="Times New Roman" w:cs="Times New Roman"/>
          <w:b/>
          <w:i/>
        </w:rPr>
      </w:pPr>
      <w:r w:rsidRPr="00D7363C">
        <w:rPr>
          <w:rFonts w:ascii="Times New Roman" w:eastAsia="Calibri" w:hAnsi="Times New Roman" w:cs="Times New Roman"/>
          <w:b/>
          <w:i/>
        </w:rPr>
        <w:t xml:space="preserve">RE:  OIG-403-P3:  Medicare and State Health Care Programs:  Fraud and Abuse; Revisions to Safe Harbors Under </w:t>
      </w:r>
      <w:bookmarkStart w:id="0" w:name="_GoBack"/>
      <w:r w:rsidRPr="00D7363C">
        <w:rPr>
          <w:rFonts w:ascii="Times New Roman" w:eastAsia="Calibri" w:hAnsi="Times New Roman" w:cs="Times New Roman"/>
          <w:b/>
          <w:i/>
        </w:rPr>
        <w:t>An</w:t>
      </w:r>
      <w:bookmarkEnd w:id="0"/>
      <w:r w:rsidRPr="00D7363C">
        <w:rPr>
          <w:rFonts w:ascii="Times New Roman" w:eastAsia="Calibri" w:hAnsi="Times New Roman" w:cs="Times New Roman"/>
          <w:b/>
          <w:i/>
        </w:rPr>
        <w:t>ti-Kickback Statute, and Civil Monetary Penalty Rules Regarding Beneficiary Inducements and Gainsharing</w:t>
      </w:r>
    </w:p>
    <w:p w:rsidR="00C90F31" w:rsidRPr="00D7363C" w:rsidRDefault="00E64F95" w:rsidP="00C90F31">
      <w:pPr>
        <w:rPr>
          <w:rFonts w:ascii="Times New Roman" w:eastAsia="Calibri" w:hAnsi="Times New Roman" w:cs="Times New Roman"/>
        </w:rPr>
      </w:pPr>
    </w:p>
    <w:p w:rsidR="00C90F31" w:rsidRPr="00D7363C" w:rsidRDefault="00272F37" w:rsidP="00C90F31">
      <w:pPr>
        <w:rPr>
          <w:rFonts w:ascii="Times New Roman" w:eastAsia="Calibri" w:hAnsi="Times New Roman" w:cs="Times New Roman"/>
        </w:rPr>
      </w:pPr>
      <w:r w:rsidRPr="00D7363C">
        <w:rPr>
          <w:rFonts w:ascii="Times New Roman" w:eastAsia="Calibri" w:hAnsi="Times New Roman" w:cs="Times New Roman"/>
        </w:rPr>
        <w:t>Dear Ms. Drew:</w:t>
      </w:r>
    </w:p>
    <w:p w:rsidR="00C90F31" w:rsidRPr="00D7363C" w:rsidRDefault="00E64F95" w:rsidP="00C90F31">
      <w:pPr>
        <w:rPr>
          <w:rFonts w:ascii="Times New Roman" w:eastAsia="Calibri" w:hAnsi="Times New Roman" w:cs="Times New Roman"/>
        </w:rPr>
      </w:pPr>
    </w:p>
    <w:p w:rsidR="00C90F31" w:rsidRDefault="00272F37" w:rsidP="00C90F31">
      <w:pPr>
        <w:rPr>
          <w:rFonts w:ascii="Times New Roman" w:eastAsia="Calibri" w:hAnsi="Times New Roman" w:cs="Times New Roman"/>
        </w:rPr>
      </w:pPr>
      <w:r w:rsidRPr="00D7363C">
        <w:rPr>
          <w:rFonts w:ascii="Times New Roman" w:eastAsia="Calibri" w:hAnsi="Times New Roman" w:cs="Times New Roman"/>
        </w:rPr>
        <w:t xml:space="preserve">The American Health Care Association (AHCA) appreciates the opportunity to comment on the </w:t>
      </w:r>
      <w:r w:rsidRPr="00D7363C">
        <w:rPr>
          <w:rFonts w:ascii="Times New Roman" w:eastAsia="Calibri" w:hAnsi="Times New Roman" w:cs="Times New Roman"/>
          <w:i/>
        </w:rPr>
        <w:t xml:space="preserve">Medicare and State Health Care Programs:  Fraud and Abuse; </w:t>
      </w:r>
      <w:r>
        <w:rPr>
          <w:rFonts w:ascii="Times New Roman" w:eastAsia="Calibri" w:hAnsi="Times New Roman" w:cs="Times New Roman"/>
          <w:i/>
        </w:rPr>
        <w:t>R</w:t>
      </w:r>
      <w:r w:rsidRPr="00D7363C">
        <w:rPr>
          <w:rFonts w:ascii="Times New Roman" w:eastAsia="Calibri" w:hAnsi="Times New Roman" w:cs="Times New Roman"/>
          <w:i/>
        </w:rPr>
        <w:t>evisions to Safe Harbors Under Anti-Kickback Statute, and Civil Monetary Penalty Rules Regarding Beneficiary Inducements and Gainsharing</w:t>
      </w:r>
      <w:r w:rsidRPr="00D7363C">
        <w:rPr>
          <w:rFonts w:ascii="Times New Roman" w:eastAsia="Calibri" w:hAnsi="Times New Roman" w:cs="Times New Roman"/>
        </w:rPr>
        <w:t xml:space="preserve">, 79 </w:t>
      </w:r>
      <w:r w:rsidRPr="00D7363C">
        <w:rPr>
          <w:rFonts w:ascii="Times New Roman" w:eastAsia="Calibri" w:hAnsi="Times New Roman" w:cs="Times New Roman"/>
          <w:i/>
        </w:rPr>
        <w:t>Federal Register</w:t>
      </w:r>
      <w:r w:rsidRPr="00D7363C">
        <w:rPr>
          <w:rFonts w:ascii="Times New Roman" w:eastAsia="Calibri" w:hAnsi="Times New Roman" w:cs="Times New Roman"/>
        </w:rPr>
        <w:t xml:space="preserve"> 59</w:t>
      </w:r>
      <w:r>
        <w:rPr>
          <w:rFonts w:ascii="Times New Roman" w:eastAsia="Calibri" w:hAnsi="Times New Roman" w:cs="Times New Roman"/>
        </w:rPr>
        <w:t>,</w:t>
      </w:r>
      <w:r w:rsidRPr="00D7363C">
        <w:rPr>
          <w:rFonts w:ascii="Times New Roman" w:eastAsia="Calibri" w:hAnsi="Times New Roman" w:cs="Times New Roman"/>
        </w:rPr>
        <w:t>717 (Oct</w:t>
      </w:r>
      <w:r>
        <w:rPr>
          <w:rFonts w:ascii="Times New Roman" w:eastAsia="Calibri" w:hAnsi="Times New Roman" w:cs="Times New Roman"/>
        </w:rPr>
        <w:t>.</w:t>
      </w:r>
      <w:r w:rsidRPr="00D7363C">
        <w:rPr>
          <w:rFonts w:ascii="Times New Roman" w:eastAsia="Calibri" w:hAnsi="Times New Roman" w:cs="Times New Roman"/>
        </w:rPr>
        <w:t xml:space="preserve"> 3, 2014) (the Proposed Rule).  AHCA is the nation’s leading long term care organization.  AHCA and our membership of 12,000 non-profit and proprietary facilities are dedicated to continuous improvement in the delivery of professional and compassionate care provided daily by millions of caring employees to more than 1.5 million of our nation’s frail, elderly and disabled citizens who live in nursing care centers, assisted living communities, subacute centers and centers for individuals with </w:t>
      </w:r>
      <w:r>
        <w:rPr>
          <w:rFonts w:ascii="Times New Roman" w:eastAsia="Calibri" w:hAnsi="Times New Roman" w:cs="Times New Roman"/>
        </w:rPr>
        <w:t>intellectual disability</w:t>
      </w:r>
      <w:r w:rsidRPr="00D7363C">
        <w:rPr>
          <w:rFonts w:ascii="Times New Roman" w:eastAsia="Calibri" w:hAnsi="Times New Roman" w:cs="Times New Roman"/>
        </w:rPr>
        <w:t xml:space="preserve"> and developmental disabilities.</w:t>
      </w:r>
    </w:p>
    <w:p w:rsidR="00F47F68" w:rsidRDefault="00E64F95" w:rsidP="00C90F31">
      <w:pPr>
        <w:rPr>
          <w:rFonts w:ascii="Times New Roman" w:eastAsia="Calibri" w:hAnsi="Times New Roman" w:cs="Times New Roman"/>
        </w:rPr>
      </w:pPr>
    </w:p>
    <w:p w:rsidR="00F47F68" w:rsidRDefault="00272F37" w:rsidP="006D34DD">
      <w:pPr>
        <w:rPr>
          <w:rFonts w:ascii="Times New Roman" w:eastAsia="Calibri" w:hAnsi="Times New Roman" w:cs="Times New Roman"/>
        </w:rPr>
      </w:pPr>
      <w:r>
        <w:rPr>
          <w:rFonts w:ascii="Times New Roman" w:eastAsia="Calibri" w:hAnsi="Times New Roman" w:cs="Times New Roman"/>
        </w:rPr>
        <w:t xml:space="preserve">AHCA applauds the U.S. Department of Health and Human Services, Office of Inspector General (OIG) for issuing the Proposed Rule which would </w:t>
      </w:r>
      <w:r w:rsidRPr="006D34DD">
        <w:rPr>
          <w:rFonts w:ascii="Times New Roman" w:eastAsia="Calibri" w:hAnsi="Times New Roman" w:cs="Times New Roman"/>
        </w:rPr>
        <w:t xml:space="preserve">codify </w:t>
      </w:r>
      <w:r>
        <w:rPr>
          <w:rFonts w:ascii="Times New Roman" w:eastAsia="Calibri" w:hAnsi="Times New Roman" w:cs="Times New Roman"/>
        </w:rPr>
        <w:t xml:space="preserve">certain changes enacted by the </w:t>
      </w:r>
      <w:r w:rsidRPr="006D34DD">
        <w:rPr>
          <w:rFonts w:ascii="Times New Roman" w:eastAsia="Calibri" w:hAnsi="Times New Roman" w:cs="Times New Roman"/>
        </w:rPr>
        <w:t>Medica</w:t>
      </w:r>
      <w:r>
        <w:rPr>
          <w:rFonts w:ascii="Times New Roman" w:eastAsia="Calibri" w:hAnsi="Times New Roman" w:cs="Times New Roman"/>
        </w:rPr>
        <w:t xml:space="preserve">re </w:t>
      </w:r>
      <w:r w:rsidRPr="006D34DD">
        <w:rPr>
          <w:rFonts w:ascii="Times New Roman" w:eastAsia="Calibri" w:hAnsi="Times New Roman" w:cs="Times New Roman"/>
        </w:rPr>
        <w:t>Pres</w:t>
      </w:r>
      <w:r>
        <w:rPr>
          <w:rFonts w:ascii="Times New Roman" w:eastAsia="Calibri" w:hAnsi="Times New Roman" w:cs="Times New Roman"/>
        </w:rPr>
        <w:t xml:space="preserve">cription Drug, Improvement, and </w:t>
      </w:r>
      <w:r w:rsidRPr="006D34DD">
        <w:rPr>
          <w:rFonts w:ascii="Times New Roman" w:eastAsia="Calibri" w:hAnsi="Times New Roman" w:cs="Times New Roman"/>
        </w:rPr>
        <w:t>Modernization Act of 2003 (MMA)</w:t>
      </w:r>
      <w:r>
        <w:rPr>
          <w:rFonts w:ascii="Times New Roman" w:eastAsia="Calibri" w:hAnsi="Times New Roman" w:cs="Times New Roman"/>
        </w:rPr>
        <w:t xml:space="preserve"> and </w:t>
      </w:r>
      <w:r w:rsidRPr="006D34DD">
        <w:rPr>
          <w:rFonts w:ascii="Times New Roman" w:eastAsia="Calibri" w:hAnsi="Times New Roman" w:cs="Times New Roman"/>
        </w:rPr>
        <w:t>Affordable Care Act (ACA)</w:t>
      </w:r>
      <w:r>
        <w:rPr>
          <w:rFonts w:ascii="Times New Roman" w:eastAsia="Calibri" w:hAnsi="Times New Roman" w:cs="Times New Roman"/>
        </w:rPr>
        <w:t>, would effectuate</w:t>
      </w:r>
      <w:r w:rsidRPr="006D34DD">
        <w:rPr>
          <w:rFonts w:ascii="Times New Roman" w:eastAsia="Calibri" w:hAnsi="Times New Roman" w:cs="Times New Roman"/>
        </w:rPr>
        <w:t xml:space="preserve"> technical</w:t>
      </w:r>
      <w:r>
        <w:rPr>
          <w:rFonts w:ascii="Times New Roman" w:eastAsia="Calibri" w:hAnsi="Times New Roman" w:cs="Times New Roman"/>
        </w:rPr>
        <w:t xml:space="preserve"> </w:t>
      </w:r>
      <w:r w:rsidRPr="006D34DD">
        <w:rPr>
          <w:rFonts w:ascii="Times New Roman" w:eastAsia="Calibri" w:hAnsi="Times New Roman" w:cs="Times New Roman"/>
        </w:rPr>
        <w:t>corrections to an existing regulation and</w:t>
      </w:r>
      <w:r>
        <w:rPr>
          <w:rFonts w:ascii="Times New Roman" w:eastAsia="Calibri" w:hAnsi="Times New Roman" w:cs="Times New Roman"/>
        </w:rPr>
        <w:t xml:space="preserve"> would result in new safe harbors that the OIG believes would present low risk to the federal health care programs.  As you know, the Proposed Rule represents the first time in seven years that the OIG has either issued any significant changes to or proposed any new safe harbors under the federal Anti-Kickback Statute (AKS), 42 U.S.C. § </w:t>
      </w:r>
      <w:r w:rsidRPr="006D34DD">
        <w:rPr>
          <w:rFonts w:ascii="Times New Roman" w:eastAsia="Calibri" w:hAnsi="Times New Roman" w:cs="Times New Roman"/>
        </w:rPr>
        <w:t>1320a–7b(b)</w:t>
      </w:r>
      <w:r>
        <w:rPr>
          <w:rFonts w:ascii="Times New Roman" w:eastAsia="Calibri" w:hAnsi="Times New Roman" w:cs="Times New Roman"/>
        </w:rPr>
        <w:t>.  It also has been nearly 20 years since the OIG first attempted to promulgate regulations addressing the gainsharing civil money penalty (CMP).</w:t>
      </w:r>
      <w:r>
        <w:rPr>
          <w:rStyle w:val="FootnoteReference"/>
          <w:rFonts w:ascii="Times New Roman" w:eastAsia="Calibri" w:hAnsi="Times New Roman" w:cs="Times New Roman"/>
        </w:rPr>
        <w:footnoteReference w:id="1"/>
      </w:r>
      <w:r>
        <w:rPr>
          <w:rFonts w:ascii="Times New Roman" w:eastAsia="Calibri" w:hAnsi="Times New Roman" w:cs="Times New Roman"/>
        </w:rPr>
        <w:t xml:space="preserve">  We commend the agency for addressing some of the significant matters emerging in the ever-changing health care profession.  AHCA also believes, however, that in certain instances the Proposed Rule falls short of providing the necessary </w:t>
      </w:r>
      <w:r>
        <w:rPr>
          <w:rFonts w:ascii="Times New Roman" w:eastAsia="Calibri" w:hAnsi="Times New Roman" w:cs="Times New Roman"/>
        </w:rPr>
        <w:lastRenderedPageBreak/>
        <w:t>flexibility to health care organizations to accomplish the ACA’s laudable goals of access and cost-efficiency, and is otherwise unnecessarily narrow.</w:t>
      </w:r>
    </w:p>
    <w:p w:rsidR="003A1FD5" w:rsidRDefault="00E64F95" w:rsidP="00E72309">
      <w:pPr>
        <w:autoSpaceDE w:val="0"/>
        <w:autoSpaceDN w:val="0"/>
        <w:rPr>
          <w:rFonts w:ascii="Times New Roman" w:hAnsi="Times New Roman" w:cs="Times New Roman"/>
          <w:color w:val="000000"/>
        </w:rPr>
      </w:pPr>
    </w:p>
    <w:p w:rsidR="00D7363C" w:rsidRDefault="00272F37" w:rsidP="00E72309">
      <w:pPr>
        <w:autoSpaceDE w:val="0"/>
        <w:autoSpaceDN w:val="0"/>
        <w:rPr>
          <w:rFonts w:ascii="Times New Roman" w:hAnsi="Times New Roman" w:cs="Times New Roman"/>
        </w:rPr>
      </w:pPr>
      <w:r>
        <w:rPr>
          <w:rFonts w:ascii="Times New Roman" w:hAnsi="Times New Roman" w:cs="Times New Roman"/>
          <w:color w:val="000000"/>
        </w:rPr>
        <w:t>Specifically, the OIG proposes a new safe harbor to protect free or discounted local transportation services provided to certain federal health care program beneficiaries</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established patients”)—to obtain medically necessary items or services.  AHCA is concerned, however, that the OIG offers no definition for the meaning of “established patients,” and </w:t>
      </w:r>
      <w:r w:rsidRPr="008A0E47">
        <w:rPr>
          <w:rFonts w:ascii="Times New Roman" w:hAnsi="Times New Roman" w:cs="Times New Roman"/>
          <w:color w:val="000000"/>
        </w:rPr>
        <w:t xml:space="preserve">the one example given in the preamble discussion </w:t>
      </w:r>
      <w:r>
        <w:rPr>
          <w:rFonts w:ascii="Times New Roman" w:hAnsi="Times New Roman" w:cs="Times New Roman"/>
          <w:color w:val="000000"/>
        </w:rPr>
        <w:t>does not apply in the context of post-acute provider organizations</w:t>
      </w:r>
      <w:r w:rsidRPr="008A0E47">
        <w:rPr>
          <w:rFonts w:ascii="Times New Roman" w:hAnsi="Times New Roman" w:cs="Times New Roman"/>
          <w:color w:val="000000"/>
        </w:rPr>
        <w:t xml:space="preserve">.  </w:t>
      </w:r>
      <w:r>
        <w:rPr>
          <w:rFonts w:ascii="Times New Roman" w:hAnsi="Times New Roman" w:cs="Times New Roman"/>
          <w:color w:val="000000"/>
        </w:rPr>
        <w:t xml:space="preserve">In fact, the OIG does not seem to consider the normal operations of long-term care facility organizations—where a patient or resident may not be considered formally admitted until the patient, resident or his or her representative signs an admission agreement when the patient or resident is already physically present at the facility—in its “established patient” requirement.  </w:t>
      </w:r>
      <w:r w:rsidRPr="008A0E47">
        <w:rPr>
          <w:rFonts w:ascii="Times New Roman" w:hAnsi="Times New Roman" w:cs="Times New Roman"/>
          <w:color w:val="000000"/>
        </w:rPr>
        <w:t>AHCA urge</w:t>
      </w:r>
      <w:r>
        <w:rPr>
          <w:rFonts w:ascii="Times New Roman" w:hAnsi="Times New Roman" w:cs="Times New Roman"/>
          <w:color w:val="000000"/>
        </w:rPr>
        <w:t>s</w:t>
      </w:r>
      <w:r w:rsidRPr="008A0E47">
        <w:rPr>
          <w:rFonts w:ascii="Times New Roman" w:hAnsi="Times New Roman" w:cs="Times New Roman"/>
          <w:color w:val="000000"/>
        </w:rPr>
        <w:t xml:space="preserve"> the OIG to define “established patients” to include patients being discharged from a hospital, and receiving complimentary, local transportatio</w:t>
      </w:r>
      <w:r w:rsidRPr="008A0E47">
        <w:rPr>
          <w:rFonts w:ascii="Times New Roman" w:hAnsi="Times New Roman" w:cs="Times New Roman"/>
        </w:rPr>
        <w:t>n to a</w:t>
      </w:r>
      <w:r>
        <w:rPr>
          <w:rFonts w:ascii="Times New Roman" w:hAnsi="Times New Roman" w:cs="Times New Roman"/>
        </w:rPr>
        <w:t xml:space="preserve"> skilled nursing facility</w:t>
      </w:r>
      <w:r w:rsidRPr="008A0E47">
        <w:rPr>
          <w:rFonts w:ascii="Times New Roman" w:hAnsi="Times New Roman" w:cs="Times New Roman"/>
        </w:rPr>
        <w:t xml:space="preserve"> </w:t>
      </w:r>
      <w:r>
        <w:rPr>
          <w:rFonts w:ascii="Times New Roman" w:hAnsi="Times New Roman" w:cs="Times New Roman"/>
        </w:rPr>
        <w:t>(</w:t>
      </w:r>
      <w:r w:rsidRPr="008A0E47">
        <w:rPr>
          <w:rFonts w:ascii="Times New Roman" w:hAnsi="Times New Roman" w:cs="Times New Roman"/>
        </w:rPr>
        <w:t>SNF</w:t>
      </w:r>
      <w:r>
        <w:rPr>
          <w:rFonts w:ascii="Times New Roman" w:hAnsi="Times New Roman" w:cs="Times New Roman"/>
        </w:rPr>
        <w:t>) or other long-term care facility</w:t>
      </w:r>
      <w:r w:rsidRPr="008A0E47">
        <w:rPr>
          <w:rFonts w:ascii="Times New Roman" w:hAnsi="Times New Roman" w:cs="Times New Roman"/>
        </w:rPr>
        <w:t>,</w:t>
      </w:r>
      <w:r w:rsidRPr="008A0E47">
        <w:rPr>
          <w:rFonts w:ascii="Times New Roman" w:hAnsi="Times New Roman" w:cs="Times New Roman"/>
          <w:color w:val="1F497D"/>
        </w:rPr>
        <w:t xml:space="preserve"> </w:t>
      </w:r>
      <w:r w:rsidRPr="008A0E47">
        <w:rPr>
          <w:rFonts w:ascii="Times New Roman" w:hAnsi="Times New Roman" w:cs="Times New Roman"/>
        </w:rPr>
        <w:t>who have not yet signed an admission agreement but who have expressed an interest in going to that SNF</w:t>
      </w:r>
      <w:r>
        <w:rPr>
          <w:rFonts w:ascii="Times New Roman" w:hAnsi="Times New Roman" w:cs="Times New Roman"/>
        </w:rPr>
        <w:t xml:space="preserve"> or other long-term care facility</w:t>
      </w:r>
      <w:r w:rsidRPr="008A0E47">
        <w:rPr>
          <w:rFonts w:ascii="Times New Roman" w:hAnsi="Times New Roman" w:cs="Times New Roman"/>
        </w:rPr>
        <w:t xml:space="preserve">.  This </w:t>
      </w:r>
      <w:r>
        <w:rPr>
          <w:rFonts w:ascii="Times New Roman" w:hAnsi="Times New Roman" w:cs="Times New Roman"/>
        </w:rPr>
        <w:t>would</w:t>
      </w:r>
      <w:r w:rsidRPr="008A0E47">
        <w:rPr>
          <w:rFonts w:ascii="Times New Roman" w:hAnsi="Times New Roman" w:cs="Times New Roman"/>
        </w:rPr>
        <w:t xml:space="preserve"> address the </w:t>
      </w:r>
      <w:r>
        <w:rPr>
          <w:rFonts w:ascii="Times New Roman" w:hAnsi="Times New Roman" w:cs="Times New Roman"/>
        </w:rPr>
        <w:t xml:space="preserve">situation </w:t>
      </w:r>
      <w:r w:rsidRPr="008A0E47">
        <w:rPr>
          <w:rFonts w:ascii="Times New Roman" w:hAnsi="Times New Roman" w:cs="Times New Roman"/>
        </w:rPr>
        <w:t>where</w:t>
      </w:r>
      <w:r>
        <w:rPr>
          <w:rFonts w:ascii="Times New Roman" w:hAnsi="Times New Roman" w:cs="Times New Roman"/>
        </w:rPr>
        <w:t xml:space="preserve"> a</w:t>
      </w:r>
      <w:r w:rsidRPr="008A0E47">
        <w:rPr>
          <w:rFonts w:ascii="Times New Roman" w:hAnsi="Times New Roman" w:cs="Times New Roman"/>
        </w:rPr>
        <w:t xml:space="preserve"> patient may not have completed all of the admission paperwork while at the hospital</w:t>
      </w:r>
      <w:r>
        <w:rPr>
          <w:rFonts w:ascii="Times New Roman" w:hAnsi="Times New Roman" w:cs="Times New Roman"/>
        </w:rPr>
        <w:t xml:space="preserve"> and therefore would not be an “established patient”</w:t>
      </w:r>
      <w:r w:rsidRPr="008A0E47">
        <w:rPr>
          <w:rFonts w:ascii="Times New Roman" w:hAnsi="Times New Roman" w:cs="Times New Roman"/>
        </w:rPr>
        <w:t xml:space="preserve">.  Interpreted otherwise, the </w:t>
      </w:r>
      <w:r>
        <w:rPr>
          <w:rFonts w:ascii="Times New Roman" w:hAnsi="Times New Roman" w:cs="Times New Roman"/>
        </w:rPr>
        <w:t>P</w:t>
      </w:r>
      <w:r w:rsidRPr="008A0E47">
        <w:rPr>
          <w:rFonts w:ascii="Times New Roman" w:hAnsi="Times New Roman" w:cs="Times New Roman"/>
        </w:rPr>
        <w:t xml:space="preserve">roposed </w:t>
      </w:r>
      <w:r>
        <w:rPr>
          <w:rFonts w:ascii="Times New Roman" w:hAnsi="Times New Roman" w:cs="Times New Roman"/>
        </w:rPr>
        <w:t>R</w:t>
      </w:r>
      <w:r w:rsidRPr="008A0E47">
        <w:rPr>
          <w:rFonts w:ascii="Times New Roman" w:hAnsi="Times New Roman" w:cs="Times New Roman"/>
        </w:rPr>
        <w:t>ule’s “established patient” definition could prohibi</w:t>
      </w:r>
      <w:r w:rsidRPr="008A0E47">
        <w:rPr>
          <w:rFonts w:ascii="Times New Roman" w:hAnsi="Times New Roman" w:cs="Times New Roman"/>
          <w:color w:val="1F497D"/>
        </w:rPr>
        <w:t>t</w:t>
      </w:r>
      <w:r w:rsidRPr="008A0E47">
        <w:rPr>
          <w:rFonts w:ascii="Times New Roman" w:hAnsi="Times New Roman" w:cs="Times New Roman"/>
        </w:rPr>
        <w:t xml:space="preserve"> safe harbor protection for SNFs</w:t>
      </w:r>
      <w:r>
        <w:rPr>
          <w:rFonts w:ascii="Times New Roman" w:hAnsi="Times New Roman" w:cs="Times New Roman"/>
        </w:rPr>
        <w:t xml:space="preserve"> and other long-term care facilities</w:t>
      </w:r>
      <w:r w:rsidRPr="008A0E47">
        <w:rPr>
          <w:rFonts w:ascii="Times New Roman" w:hAnsi="Times New Roman" w:cs="Times New Roman"/>
        </w:rPr>
        <w:t xml:space="preserve"> providing free, local transportation to patients who have not yet been formally admitted to the facility</w:t>
      </w:r>
      <w:r>
        <w:rPr>
          <w:rFonts w:ascii="Times New Roman" w:hAnsi="Times New Roman" w:cs="Times New Roman"/>
        </w:rPr>
        <w:t>, which may impede access to federal health program beneficiaries who may otherwise benefit from transportation services protected by this safe harbor</w:t>
      </w:r>
      <w:r w:rsidRPr="008A0E47">
        <w:rPr>
          <w:rFonts w:ascii="Times New Roman" w:hAnsi="Times New Roman" w:cs="Times New Roman"/>
        </w:rPr>
        <w:t>.</w:t>
      </w:r>
    </w:p>
    <w:p w:rsidR="00E72309" w:rsidRDefault="00E64F95" w:rsidP="00E72309">
      <w:pPr>
        <w:autoSpaceDE w:val="0"/>
        <w:autoSpaceDN w:val="0"/>
        <w:rPr>
          <w:rFonts w:ascii="Times New Roman" w:hAnsi="Times New Roman" w:cs="Times New Roman"/>
        </w:rPr>
      </w:pPr>
    </w:p>
    <w:p w:rsidR="00D7363C" w:rsidRDefault="00272F37" w:rsidP="00E72309">
      <w:pPr>
        <w:autoSpaceDE w:val="0"/>
        <w:autoSpaceDN w:val="0"/>
        <w:rPr>
          <w:rFonts w:ascii="Times New Roman" w:hAnsi="Times New Roman" w:cs="Times New Roman"/>
          <w:color w:val="000000"/>
        </w:rPr>
      </w:pPr>
      <w:r>
        <w:rPr>
          <w:rFonts w:ascii="Times New Roman" w:hAnsi="Times New Roman" w:cs="Times New Roman"/>
        </w:rPr>
        <w:t>Furthermore, AHCA urges the OIG to expand safe harbor protection to free or discounted local transportation services furnished to friends and family members of SNF or other long-term care facility patients or residents.  In Advisory</w:t>
      </w:r>
      <w:r>
        <w:rPr>
          <w:rFonts w:ascii="Times New Roman" w:hAnsi="Times New Roman" w:cs="Times New Roman"/>
          <w:color w:val="000000"/>
        </w:rPr>
        <w:t xml:space="preserve"> </w:t>
      </w:r>
      <w:r w:rsidRPr="00E72309">
        <w:rPr>
          <w:rFonts w:ascii="Times New Roman" w:hAnsi="Times New Roman" w:cs="Times New Roman"/>
          <w:color w:val="000000"/>
        </w:rPr>
        <w:t>Opinion 09-01,</w:t>
      </w:r>
      <w:r>
        <w:rPr>
          <w:rStyle w:val="FootnoteReference"/>
          <w:rFonts w:ascii="Times New Roman" w:hAnsi="Times New Roman" w:cs="Times New Roman"/>
          <w:color w:val="000000"/>
        </w:rPr>
        <w:footnoteReference w:id="2"/>
      </w:r>
      <w:r w:rsidRPr="00E72309">
        <w:rPr>
          <w:rFonts w:ascii="Times New Roman" w:hAnsi="Times New Roman" w:cs="Times New Roman"/>
          <w:color w:val="000000"/>
        </w:rPr>
        <w:t xml:space="preserve"> the OIG opined favorably upon a SNF’s free, local transportation to friends and family members of i</w:t>
      </w:r>
      <w:r>
        <w:rPr>
          <w:rFonts w:ascii="Times New Roman" w:hAnsi="Times New Roman" w:cs="Times New Roman"/>
          <w:color w:val="000000"/>
        </w:rPr>
        <w:t>ts residents.  However, in the P</w:t>
      </w:r>
      <w:r w:rsidRPr="00E72309">
        <w:rPr>
          <w:rFonts w:ascii="Times New Roman" w:hAnsi="Times New Roman" w:cs="Times New Roman"/>
          <w:color w:val="000000"/>
        </w:rPr>
        <w:t xml:space="preserve">roposed </w:t>
      </w:r>
      <w:r>
        <w:rPr>
          <w:rFonts w:ascii="Times New Roman" w:hAnsi="Times New Roman" w:cs="Times New Roman"/>
          <w:color w:val="000000"/>
        </w:rPr>
        <w:t>R</w:t>
      </w:r>
      <w:r w:rsidRPr="00E72309">
        <w:rPr>
          <w:rFonts w:ascii="Times New Roman" w:hAnsi="Times New Roman" w:cs="Times New Roman"/>
          <w:color w:val="000000"/>
        </w:rPr>
        <w:t xml:space="preserve">ule, the OIG appears to take a more restrictive approach, limiting “eligible entities” provision of free or discounted transportation to “someone to assist the patient” to obtain medically necessary items or services (if needed).  </w:t>
      </w:r>
      <w:r>
        <w:rPr>
          <w:rFonts w:ascii="Times New Roman" w:hAnsi="Times New Roman" w:cs="Times New Roman"/>
          <w:color w:val="000000"/>
        </w:rPr>
        <w:t xml:space="preserve">AHCA </w:t>
      </w:r>
      <w:r w:rsidRPr="00E72309">
        <w:rPr>
          <w:rFonts w:ascii="Times New Roman" w:hAnsi="Times New Roman" w:cs="Times New Roman"/>
          <w:color w:val="000000"/>
        </w:rPr>
        <w:t>encourage</w:t>
      </w:r>
      <w:r>
        <w:rPr>
          <w:rFonts w:ascii="Times New Roman" w:hAnsi="Times New Roman" w:cs="Times New Roman"/>
          <w:color w:val="000000"/>
        </w:rPr>
        <w:t>s</w:t>
      </w:r>
      <w:r w:rsidRPr="00E72309">
        <w:rPr>
          <w:rFonts w:ascii="Times New Roman" w:hAnsi="Times New Roman" w:cs="Times New Roman"/>
          <w:color w:val="000000"/>
        </w:rPr>
        <w:t xml:space="preserve"> the OIG </w:t>
      </w:r>
      <w:r>
        <w:rPr>
          <w:rFonts w:ascii="Times New Roman" w:hAnsi="Times New Roman" w:cs="Times New Roman"/>
          <w:color w:val="000000"/>
        </w:rPr>
        <w:t xml:space="preserve">to reconsider and </w:t>
      </w:r>
      <w:r w:rsidRPr="00E72309">
        <w:rPr>
          <w:rFonts w:ascii="Times New Roman" w:hAnsi="Times New Roman" w:cs="Times New Roman"/>
          <w:color w:val="000000"/>
        </w:rPr>
        <w:t xml:space="preserve">expand the proposed safe harbor to protect the provision of free or discounted local transportation to friends and family members of SNF </w:t>
      </w:r>
      <w:r>
        <w:rPr>
          <w:rFonts w:ascii="Times New Roman" w:hAnsi="Times New Roman" w:cs="Times New Roman"/>
          <w:color w:val="000000"/>
        </w:rPr>
        <w:t xml:space="preserve">and other long-term care facility </w:t>
      </w:r>
      <w:r w:rsidRPr="00E72309">
        <w:rPr>
          <w:rFonts w:ascii="Times New Roman" w:hAnsi="Times New Roman" w:cs="Times New Roman"/>
          <w:color w:val="000000"/>
        </w:rPr>
        <w:t>patients</w:t>
      </w:r>
      <w:r>
        <w:rPr>
          <w:rFonts w:ascii="Times New Roman" w:hAnsi="Times New Roman" w:cs="Times New Roman"/>
          <w:color w:val="000000"/>
        </w:rPr>
        <w:t xml:space="preserve"> and residents</w:t>
      </w:r>
      <w:r w:rsidRPr="00E72309">
        <w:rPr>
          <w:rFonts w:ascii="Times New Roman" w:hAnsi="Times New Roman" w:cs="Times New Roman"/>
          <w:color w:val="000000"/>
        </w:rPr>
        <w:t>.</w:t>
      </w:r>
      <w:r>
        <w:rPr>
          <w:rFonts w:ascii="Times New Roman" w:hAnsi="Times New Roman" w:cs="Times New Roman"/>
          <w:color w:val="000000"/>
        </w:rPr>
        <w:t xml:space="preserve">  As you know, strong community ties, including relationships with family and friends, can health improve health and well-being.  Safe harbor protection </w:t>
      </w:r>
      <w:proofErr w:type="gramStart"/>
      <w:r>
        <w:rPr>
          <w:rFonts w:ascii="Times New Roman" w:hAnsi="Times New Roman" w:cs="Times New Roman"/>
          <w:color w:val="000000"/>
        </w:rPr>
        <w:t>for  the</w:t>
      </w:r>
      <w:proofErr w:type="gramEnd"/>
      <w:r>
        <w:rPr>
          <w:rFonts w:ascii="Times New Roman" w:hAnsi="Times New Roman" w:cs="Times New Roman"/>
          <w:color w:val="000000"/>
        </w:rPr>
        <w:t xml:space="preserve"> provision of free or discounted local transportation services—while meeting the safe harbor’s specified criteria—could help SNF and long-term care facility patients and residents maintain strong community ties and social connections. This is consistent with obligations under federal law for SNFs and nursing facilities to </w:t>
      </w:r>
      <w:r w:rsidRPr="0098706C">
        <w:rPr>
          <w:rFonts w:ascii="Times New Roman" w:hAnsi="Times New Roman" w:cs="Times New Roman"/>
          <w:color w:val="000000"/>
        </w:rPr>
        <w:t xml:space="preserve">provide services and activities to attain or maintain the </w:t>
      </w:r>
      <w:r w:rsidRPr="001919CA">
        <w:rPr>
          <w:rFonts w:ascii="Times New Roman" w:hAnsi="Times New Roman" w:cs="Times New Roman"/>
          <w:bCs/>
          <w:color w:val="000000"/>
        </w:rPr>
        <w:t>highest practicable physical</w:t>
      </w:r>
      <w:r w:rsidRPr="0098706C">
        <w:rPr>
          <w:rFonts w:ascii="Times New Roman" w:hAnsi="Times New Roman" w:cs="Times New Roman"/>
          <w:color w:val="000000"/>
        </w:rPr>
        <w:t xml:space="preserve">, </w:t>
      </w:r>
      <w:r w:rsidRPr="001919CA">
        <w:rPr>
          <w:rFonts w:ascii="Times New Roman" w:hAnsi="Times New Roman" w:cs="Times New Roman"/>
          <w:bCs/>
          <w:color w:val="000000"/>
        </w:rPr>
        <w:t>mental</w:t>
      </w:r>
      <w:r w:rsidRPr="0098706C">
        <w:rPr>
          <w:rFonts w:ascii="Times New Roman" w:hAnsi="Times New Roman" w:cs="Times New Roman"/>
          <w:color w:val="000000"/>
        </w:rPr>
        <w:t>, and psychosocial well-being</w:t>
      </w:r>
      <w:r>
        <w:rPr>
          <w:rFonts w:ascii="Times New Roman" w:hAnsi="Times New Roman" w:cs="Times New Roman"/>
          <w:color w:val="000000"/>
        </w:rPr>
        <w:t xml:space="preserve"> for their residents. </w:t>
      </w:r>
    </w:p>
    <w:p w:rsidR="003A1FD5" w:rsidRDefault="00E64F95" w:rsidP="00E72309">
      <w:pPr>
        <w:autoSpaceDE w:val="0"/>
        <w:autoSpaceDN w:val="0"/>
        <w:rPr>
          <w:rFonts w:ascii="Times New Roman" w:hAnsi="Times New Roman" w:cs="Times New Roman"/>
          <w:color w:val="000000"/>
        </w:rPr>
      </w:pPr>
    </w:p>
    <w:p w:rsidR="00D7363C" w:rsidRPr="003A1FD5" w:rsidRDefault="00272F37" w:rsidP="003A1FD5">
      <w:pPr>
        <w:autoSpaceDE w:val="0"/>
        <w:autoSpaceDN w:val="0"/>
        <w:rPr>
          <w:rFonts w:ascii="Times New Roman" w:hAnsi="Times New Roman" w:cs="Times New Roman"/>
          <w:color w:val="000000"/>
        </w:rPr>
      </w:pPr>
      <w:r>
        <w:rPr>
          <w:rFonts w:ascii="Times New Roman" w:hAnsi="Times New Roman" w:cs="Times New Roman"/>
          <w:color w:val="000000"/>
        </w:rPr>
        <w:t>The Proposed Rule also would codify the ACA exception to the definition of “remuneration” that protects “any other remuneration which promotes access to care and poses a low risk of harm to patients and federal health care program.”  T</w:t>
      </w:r>
      <w:r w:rsidRPr="003A1FD5">
        <w:rPr>
          <w:rFonts w:ascii="Times New Roman" w:hAnsi="Times New Roman" w:cs="Times New Roman"/>
          <w:color w:val="000000"/>
        </w:rPr>
        <w:t xml:space="preserve">he ACA included an exclusion from prohibited remuneration for the offer or transfer of items or services for free or less than fair market value to financially needy individuals.  The OIG notes </w:t>
      </w:r>
      <w:r>
        <w:rPr>
          <w:rFonts w:ascii="Times New Roman" w:hAnsi="Times New Roman" w:cs="Times New Roman"/>
          <w:color w:val="000000"/>
        </w:rPr>
        <w:t xml:space="preserve">in the Proposed Rule’s preamble discussion </w:t>
      </w:r>
      <w:r w:rsidRPr="003A1FD5">
        <w:rPr>
          <w:rFonts w:ascii="Times New Roman" w:hAnsi="Times New Roman" w:cs="Times New Roman"/>
          <w:color w:val="000000"/>
        </w:rPr>
        <w:t xml:space="preserve">that “financial need” would </w:t>
      </w:r>
      <w:r>
        <w:rPr>
          <w:rFonts w:ascii="Times New Roman" w:hAnsi="Times New Roman" w:cs="Times New Roman"/>
          <w:color w:val="000000"/>
        </w:rPr>
        <w:t xml:space="preserve">not </w:t>
      </w:r>
      <w:r w:rsidRPr="003A1FD5">
        <w:rPr>
          <w:rFonts w:ascii="Times New Roman" w:hAnsi="Times New Roman" w:cs="Times New Roman"/>
          <w:color w:val="000000"/>
        </w:rPr>
        <w:t xml:space="preserve">be limited to “indigence” but could result from any reasonable measure of financial hardship.  </w:t>
      </w:r>
      <w:r>
        <w:rPr>
          <w:rFonts w:ascii="Times New Roman" w:hAnsi="Times New Roman" w:cs="Times New Roman"/>
          <w:color w:val="000000"/>
        </w:rPr>
        <w:t xml:space="preserve">AHCA is concerned that the OIG does not define the term “reasonable measure of financial hardship,” and respectfully requests the </w:t>
      </w:r>
      <w:r w:rsidRPr="003A1FD5">
        <w:rPr>
          <w:rFonts w:ascii="Times New Roman" w:hAnsi="Times New Roman" w:cs="Times New Roman"/>
          <w:color w:val="000000"/>
        </w:rPr>
        <w:t xml:space="preserve">OIG to </w:t>
      </w:r>
      <w:r>
        <w:rPr>
          <w:rFonts w:ascii="Times New Roman" w:hAnsi="Times New Roman" w:cs="Times New Roman"/>
          <w:color w:val="000000"/>
        </w:rPr>
        <w:t>better define and provide examples of that phrase.</w:t>
      </w:r>
    </w:p>
    <w:p w:rsidR="00CB43E7" w:rsidRPr="00D7363C" w:rsidRDefault="00E64F95" w:rsidP="000A7B90">
      <w:pPr>
        <w:rPr>
          <w:rFonts w:ascii="Times New Roman" w:eastAsia="Calibri" w:hAnsi="Times New Roman" w:cs="Times New Roman"/>
        </w:rPr>
      </w:pPr>
    </w:p>
    <w:p w:rsidR="000A7B90" w:rsidRPr="00D7363C" w:rsidRDefault="00272F37" w:rsidP="000A7B90">
      <w:pPr>
        <w:rPr>
          <w:rFonts w:ascii="Times New Roman" w:eastAsia="Calibri" w:hAnsi="Times New Roman" w:cs="Times New Roman"/>
        </w:rPr>
      </w:pPr>
      <w:r w:rsidRPr="00D7363C">
        <w:rPr>
          <w:rFonts w:ascii="Times New Roman" w:eastAsia="Calibri" w:hAnsi="Times New Roman" w:cs="Times New Roman"/>
        </w:rPr>
        <w:t xml:space="preserve">On behalf of our members, AHCA thanks you for the opportunity to submit these comments regarding the proposed revisions to the safe harbors under the </w:t>
      </w:r>
      <w:r>
        <w:rPr>
          <w:rFonts w:ascii="Times New Roman" w:eastAsia="Calibri" w:hAnsi="Times New Roman" w:cs="Times New Roman"/>
        </w:rPr>
        <w:t>AKS</w:t>
      </w:r>
      <w:r w:rsidRPr="00D7363C">
        <w:rPr>
          <w:rFonts w:ascii="Times New Roman" w:eastAsia="Calibri" w:hAnsi="Times New Roman" w:cs="Times New Roman"/>
        </w:rPr>
        <w:t xml:space="preserve">, and civil monetary </w:t>
      </w:r>
      <w:r>
        <w:rPr>
          <w:rFonts w:ascii="Times New Roman" w:eastAsia="Calibri" w:hAnsi="Times New Roman" w:cs="Times New Roman"/>
        </w:rPr>
        <w:t>penalty provisions</w:t>
      </w:r>
      <w:r w:rsidRPr="00D7363C">
        <w:rPr>
          <w:rFonts w:ascii="Times New Roman" w:eastAsia="Calibri" w:hAnsi="Times New Roman" w:cs="Times New Roman"/>
        </w:rPr>
        <w:t xml:space="preserve"> regarding beneficiary inducements and gainsharing. </w:t>
      </w:r>
      <w:r>
        <w:rPr>
          <w:rFonts w:ascii="Times New Roman" w:eastAsia="Calibri" w:hAnsi="Times New Roman" w:cs="Times New Roman"/>
        </w:rPr>
        <w:t xml:space="preserve">If you have specific follow-up questions to these comments, please contact Dianne De La Mare at 202-898-2830 or email at </w:t>
      </w:r>
      <w:hyperlink r:id="rId7" w:history="1">
        <w:r w:rsidRPr="00EB70C8">
          <w:rPr>
            <w:rStyle w:val="Hyperlink"/>
            <w:rFonts w:ascii="Times New Roman" w:eastAsia="Calibri" w:hAnsi="Times New Roman"/>
          </w:rPr>
          <w:t>ddmare@ahca.org</w:t>
        </w:r>
      </w:hyperlink>
      <w:r>
        <w:rPr>
          <w:rFonts w:ascii="Times New Roman" w:eastAsia="Calibri" w:hAnsi="Times New Roman" w:cs="Times New Roman"/>
        </w:rPr>
        <w:t xml:space="preserve">. </w:t>
      </w:r>
    </w:p>
    <w:p w:rsidR="000A7B90" w:rsidRPr="00D7363C" w:rsidRDefault="00E64F95" w:rsidP="000A7B90">
      <w:pPr>
        <w:rPr>
          <w:rFonts w:ascii="Times New Roman" w:eastAsia="Calibri" w:hAnsi="Times New Roman" w:cs="Times New Roman"/>
        </w:rPr>
      </w:pPr>
    </w:p>
    <w:p w:rsidR="000A7B90" w:rsidRPr="00D7363C" w:rsidRDefault="00272F37" w:rsidP="000A7B90">
      <w:pPr>
        <w:rPr>
          <w:rFonts w:ascii="Times New Roman" w:eastAsia="Calibri" w:hAnsi="Times New Roman" w:cs="Times New Roman"/>
        </w:rPr>
      </w:pPr>
      <w:r w:rsidRPr="00D7363C">
        <w:rPr>
          <w:rFonts w:ascii="Times New Roman" w:eastAsia="Calibri" w:hAnsi="Times New Roman" w:cs="Times New Roman"/>
        </w:rPr>
        <w:t>Sincerely,</w:t>
      </w:r>
    </w:p>
    <w:p w:rsidR="000A7B90" w:rsidRPr="00D7363C" w:rsidRDefault="00E64F95" w:rsidP="000A7B90">
      <w:pPr>
        <w:rPr>
          <w:rFonts w:ascii="Times New Roman" w:eastAsia="Calibri" w:hAnsi="Times New Roman" w:cs="Times New Roman"/>
        </w:rPr>
      </w:pPr>
    </w:p>
    <w:p w:rsidR="000A7B90" w:rsidRPr="00D7363C" w:rsidRDefault="00272F37" w:rsidP="000A7B90">
      <w:pPr>
        <w:rPr>
          <w:rFonts w:ascii="Times New Roman" w:eastAsia="Calibri" w:hAnsi="Times New Roman" w:cs="Times New Roman"/>
        </w:rPr>
      </w:pPr>
      <w:r w:rsidRPr="00D7363C">
        <w:rPr>
          <w:rFonts w:ascii="Times New Roman" w:eastAsia="Calibri" w:hAnsi="Times New Roman" w:cs="Times New Roman"/>
          <w:noProof/>
        </w:rPr>
        <w:drawing>
          <wp:inline distT="0" distB="0" distL="0" distR="0" wp14:anchorId="3C73D319" wp14:editId="42762ACB">
            <wp:extent cx="1539200" cy="569343"/>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756" cy="569549"/>
                    </a:xfrm>
                    <a:prstGeom prst="rect">
                      <a:avLst/>
                    </a:prstGeom>
                    <a:noFill/>
                  </pic:spPr>
                </pic:pic>
              </a:graphicData>
            </a:graphic>
          </wp:inline>
        </w:drawing>
      </w:r>
    </w:p>
    <w:p w:rsidR="000A7B90" w:rsidRPr="00D7363C" w:rsidRDefault="00E64F95" w:rsidP="000A7B90">
      <w:pPr>
        <w:rPr>
          <w:rFonts w:ascii="Times New Roman" w:eastAsia="Calibri" w:hAnsi="Times New Roman" w:cs="Times New Roman"/>
        </w:rPr>
      </w:pPr>
    </w:p>
    <w:p w:rsidR="000A7B90" w:rsidRPr="00D7363C" w:rsidRDefault="00E64F95" w:rsidP="000A7B90">
      <w:pPr>
        <w:rPr>
          <w:rFonts w:ascii="Times New Roman" w:eastAsia="Calibri" w:hAnsi="Times New Roman" w:cs="Times New Roman"/>
        </w:rPr>
      </w:pPr>
    </w:p>
    <w:p w:rsidR="003A1FD5" w:rsidRDefault="00272F37" w:rsidP="000A7B90">
      <w:pPr>
        <w:rPr>
          <w:rFonts w:ascii="Times New Roman" w:eastAsia="Calibri" w:hAnsi="Times New Roman" w:cs="Times New Roman"/>
          <w:color w:val="34393F"/>
        </w:rPr>
      </w:pPr>
      <w:r w:rsidRPr="00D7363C">
        <w:rPr>
          <w:rFonts w:ascii="Times New Roman" w:eastAsia="Calibri" w:hAnsi="Times New Roman" w:cs="Times New Roman"/>
        </w:rPr>
        <w:t>Mike Chee</w:t>
      </w:r>
      <w:r>
        <w:rPr>
          <w:rFonts w:ascii="Times New Roman" w:eastAsia="Calibri" w:hAnsi="Times New Roman" w:cs="Times New Roman"/>
          <w:color w:val="34393F"/>
        </w:rPr>
        <w:t>k</w:t>
      </w:r>
    </w:p>
    <w:p w:rsidR="000A7B90" w:rsidRPr="00D7363C" w:rsidRDefault="00272F37" w:rsidP="000A7B90">
      <w:pPr>
        <w:rPr>
          <w:rFonts w:ascii="Times New Roman" w:eastAsia="Calibri" w:hAnsi="Times New Roman" w:cs="Times New Roman"/>
        </w:rPr>
      </w:pPr>
      <w:r w:rsidRPr="00D7363C">
        <w:rPr>
          <w:rFonts w:ascii="Times New Roman" w:eastAsia="Calibri" w:hAnsi="Times New Roman" w:cs="Times New Roman"/>
          <w:color w:val="34393F"/>
        </w:rPr>
        <w:t>AHCA, Sr. V.P., Finance Policy &amp; Legal Affairs</w:t>
      </w:r>
    </w:p>
    <w:p w:rsidR="005C2F1D" w:rsidRPr="00D73846" w:rsidRDefault="00E64F95" w:rsidP="00FE0EB3">
      <w:pPr>
        <w:rPr>
          <w:rFonts w:ascii="Times New Roman" w:hAnsi="Times New Roman" w:cs="Times New Roman"/>
        </w:rPr>
      </w:pPr>
    </w:p>
    <w:sectPr w:rsidR="005C2F1D" w:rsidRPr="00D73846" w:rsidSect="006D7D56">
      <w:headerReference w:type="even" r:id="rId9"/>
      <w:headerReference w:type="default" r:id="rId10"/>
      <w:footerReference w:type="even"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A1B" w:rsidRDefault="00272F37">
      <w:r>
        <w:separator/>
      </w:r>
    </w:p>
  </w:endnote>
  <w:endnote w:type="continuationSeparator" w:id="0">
    <w:p w:rsidR="00F54A1B" w:rsidRDefault="0027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03E" w:rsidRDefault="00E64F95">
    <w:pPr>
      <w:pStyle w:val="Footer"/>
    </w:pPr>
    <w:sdt>
      <w:sdtPr>
        <w:id w:val="969400743"/>
        <w:temporary/>
        <w:showingPlcHdr/>
      </w:sdtPr>
      <w:sdtEndPr/>
      <w:sdtContent>
        <w:r w:rsidR="00272F37">
          <w:t>[Type text]</w:t>
        </w:r>
      </w:sdtContent>
    </w:sdt>
    <w:r w:rsidR="00272F37">
      <w:ptab w:relativeTo="margin" w:alignment="center" w:leader="none"/>
    </w:r>
    <w:sdt>
      <w:sdtPr>
        <w:id w:val="969400748"/>
        <w:temporary/>
        <w:showingPlcHdr/>
      </w:sdtPr>
      <w:sdtEndPr/>
      <w:sdtContent>
        <w:r w:rsidR="00272F37">
          <w:t>[Type text]</w:t>
        </w:r>
      </w:sdtContent>
    </w:sdt>
    <w:r w:rsidR="00272F37">
      <w:ptab w:relativeTo="margin" w:alignment="right" w:leader="none"/>
    </w:r>
    <w:sdt>
      <w:sdtPr>
        <w:id w:val="969400753"/>
        <w:temporary/>
        <w:showingPlcHdr/>
      </w:sdtPr>
      <w:sdtEndPr/>
      <w:sdtContent>
        <w:r w:rsidR="00272F3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03E" w:rsidRDefault="00F83A36">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-231140</wp:posOffset>
              </wp:positionV>
              <wp:extent cx="4572000" cy="685800"/>
              <wp:effectExtent l="0" t="0" r="0" b="254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52C" w:rsidRPr="00FB6D51" w:rsidRDefault="00E64F95" w:rsidP="003F0E46">
                          <w:pPr>
                            <w:spacing w:line="276" w:lineRule="auto"/>
                            <w:jc w:val="center"/>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0;margin-top:-18.2pt;width:5in;height:5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" filled="f" stroked="f">
              <v:textbox>
                <w:txbxContent>
                  <w:p w:rsidR="0011252C" w:rsidRPr="00FB6D51" w:rsidRDefault="00F83A36" w:rsidP="003F0E46">
                    <w:pPr>
                      <w:spacing w:line="276" w:lineRule="auto"/>
                      <w:jc w:val="center"/>
                      <w:rPr>
                        <w:rFonts w:ascii="Arial" w:hAnsi="Arial" w:cs="Arial"/>
                        <w:sz w:val="12"/>
                        <w:szCs w:val="12"/>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03E" w:rsidRDefault="00272F37" w:rsidP="00BF2395">
      <w:r>
        <w:separator/>
      </w:r>
    </w:p>
  </w:footnote>
  <w:footnote w:type="continuationSeparator" w:id="0">
    <w:p w:rsidR="006B603E" w:rsidRDefault="00272F37" w:rsidP="00BF2395">
      <w:r>
        <w:continuationSeparator/>
      </w:r>
    </w:p>
  </w:footnote>
  <w:footnote w:id="1">
    <w:p w:rsidR="006B603E" w:rsidRDefault="00272F37">
      <w:pPr>
        <w:pStyle w:val="FootnoteText"/>
      </w:pPr>
      <w:r>
        <w:rPr>
          <w:rStyle w:val="FootnoteReference"/>
        </w:rPr>
        <w:footnoteRef/>
      </w:r>
      <w:r>
        <w:t xml:space="preserve"> </w:t>
      </w:r>
      <w:r>
        <w:tab/>
        <w:t xml:space="preserve">The gainsharing CMP is set forth at </w:t>
      </w:r>
      <w:r w:rsidRPr="006D34DD">
        <w:t xml:space="preserve">42 U.S.C. </w:t>
      </w:r>
      <w:r>
        <w:t xml:space="preserve">§ </w:t>
      </w:r>
      <w:r w:rsidRPr="006D34DD">
        <w:t>1320a–7a(b)</w:t>
      </w:r>
      <w:r>
        <w:t xml:space="preserve">.  </w:t>
      </w:r>
    </w:p>
  </w:footnote>
  <w:footnote w:id="2">
    <w:p w:rsidR="006B603E" w:rsidRDefault="00272F37">
      <w:pPr>
        <w:pStyle w:val="FootnoteText"/>
      </w:pPr>
      <w:r>
        <w:rPr>
          <w:rStyle w:val="FootnoteReference"/>
        </w:rPr>
        <w:footnoteRef/>
      </w:r>
      <w:r>
        <w:t xml:space="preserve"> </w:t>
      </w:r>
      <w:r>
        <w:tab/>
      </w:r>
      <w:r w:rsidRPr="006D34DD">
        <w:t>U.S. Department of Health and Human Services, Office of Inspector General</w:t>
      </w:r>
      <w:r>
        <w:t xml:space="preserve">, </w:t>
      </w:r>
      <w:r w:rsidRPr="006D34DD">
        <w:t>OIG Advisory Opinion No. 09-01</w:t>
      </w:r>
      <w:r>
        <w:t xml:space="preserve"> (Mar. 13, 2009), </w:t>
      </w:r>
      <w:r>
        <w:rPr>
          <w:i/>
        </w:rPr>
        <w:t xml:space="preserve">available </w:t>
      </w:r>
      <w:proofErr w:type="gramStart"/>
      <w:r>
        <w:rPr>
          <w:i/>
        </w:rPr>
        <w:t xml:space="preserve">at </w:t>
      </w:r>
      <w:r>
        <w:t xml:space="preserve"> </w:t>
      </w:r>
      <w:r w:rsidRPr="00553215">
        <w:rPr>
          <w:rStyle w:val="Hyperlink"/>
          <w:rFonts w:cstheme="minorBidi"/>
        </w:rPr>
        <w:t>http://oig.hhs.gov/fraud/docs/advisoryopinions/2009/AdvOpn09-01.pdf</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03E" w:rsidRDefault="00E64F95">
    <w:pPr>
      <w:pStyle w:val="Header"/>
    </w:pPr>
    <w:sdt>
      <w:sdtPr>
        <w:id w:val="171999623"/>
        <w:placeholder>
          <w:docPart w:val="7AA3F28DDA509246840C30603BA970A6"/>
        </w:placeholder>
        <w:temporary/>
        <w:showingPlcHdr/>
      </w:sdtPr>
      <w:sdtEndPr/>
      <w:sdtContent>
        <w:r w:rsidR="00272F37">
          <w:t>[Type text]</w:t>
        </w:r>
      </w:sdtContent>
    </w:sdt>
    <w:r w:rsidR="00272F37">
      <w:ptab w:relativeTo="margin" w:alignment="center" w:leader="none"/>
    </w:r>
    <w:sdt>
      <w:sdtPr>
        <w:id w:val="171999624"/>
        <w:placeholder>
          <w:docPart w:val="6268E4EDB4D8224AB5B5BB369CA005D6"/>
        </w:placeholder>
        <w:temporary/>
        <w:showingPlcHdr/>
      </w:sdtPr>
      <w:sdtEndPr/>
      <w:sdtContent>
        <w:r w:rsidR="00272F37">
          <w:t>[Type text]</w:t>
        </w:r>
      </w:sdtContent>
    </w:sdt>
    <w:r w:rsidR="00272F37">
      <w:ptab w:relativeTo="margin" w:alignment="right" w:leader="none"/>
    </w:r>
    <w:sdt>
      <w:sdtPr>
        <w:id w:val="171999625"/>
        <w:placeholder>
          <w:docPart w:val="CEDD9D8197B39148B204660AD0316F5A"/>
        </w:placeholder>
        <w:temporary/>
        <w:showingPlcHdr/>
      </w:sdtPr>
      <w:sdtEndPr/>
      <w:sdtContent>
        <w:r w:rsidR="00272F37">
          <w:t>[Type text]</w:t>
        </w:r>
      </w:sdtContent>
    </w:sdt>
  </w:p>
  <w:p w:rsidR="006B603E" w:rsidRDefault="00E64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03E" w:rsidRDefault="00272F37">
    <w:pPr>
      <w:pStyle w:val="Header"/>
    </w:pPr>
    <w:r>
      <w:rPr>
        <w:noProof/>
        <w:vertAlign w:val="subscript"/>
      </w:rPr>
      <w:softHyphen/>
    </w:r>
    <w:r>
      <w:rPr>
        <w:noProof/>
        <w:vertAlign w:val="subscript"/>
      </w:rPr>
      <w:softHyphen/>
    </w:r>
    <w:r>
      <w:rPr>
        <w:noProof/>
        <w:vertAlign w:val="subscript"/>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03E" w:rsidRDefault="00F83A36">
    <w:pPr>
      <w:pStyle w:val="Header"/>
    </w:pPr>
    <w:r>
      <w:rPr>
        <w:noProof/>
        <w:vertAlign w:val="subscript"/>
      </w:rPr>
      <mc:AlternateContent>
        <mc:Choice Requires="wps">
          <w:drawing>
            <wp:anchor distT="0" distB="0" distL="114300" distR="114300" simplePos="0" relativeHeight="251658240" behindDoc="0" locked="0" layoutInCell="1" allowOverlap="1">
              <wp:simplePos x="0" y="0"/>
              <wp:positionH relativeFrom="column">
                <wp:posOffset>4381500</wp:posOffset>
              </wp:positionH>
              <wp:positionV relativeFrom="paragraph">
                <wp:posOffset>-4445</wp:posOffset>
              </wp:positionV>
              <wp:extent cx="1666240" cy="452120"/>
              <wp:effectExtent l="0" t="0" r="63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52C" w:rsidRPr="00FB6D51" w:rsidRDefault="00272F37" w:rsidP="00912858">
                          <w:pPr>
                            <w:rPr>
                              <w:rFonts w:ascii="Arial" w:hAnsi="Arial" w:cs="Arial"/>
                              <w:sz w:val="12"/>
                              <w:szCs w:val="12"/>
                            </w:rPr>
                          </w:pPr>
                          <w:r w:rsidRPr="00FB6D51">
                            <w:rPr>
                              <w:rFonts w:ascii="Arial" w:hAnsi="Arial" w:cs="Arial"/>
                              <w:sz w:val="12"/>
                              <w:szCs w:val="12"/>
                            </w:rPr>
                            <w:t>1201 L Street, NW, Washington, DC 20005</w:t>
                          </w:r>
                        </w:p>
                        <w:p w:rsidR="0011252C" w:rsidRPr="00FB6D51" w:rsidRDefault="00272F37" w:rsidP="00912858">
                          <w:pPr>
                            <w:rPr>
                              <w:rFonts w:ascii="Arial" w:hAnsi="Arial" w:cs="Arial"/>
                              <w:sz w:val="12"/>
                              <w:szCs w:val="12"/>
                            </w:rPr>
                          </w:pPr>
                          <w:r w:rsidRPr="00FB6D51">
                            <w:rPr>
                              <w:rFonts w:ascii="Arial" w:hAnsi="Arial" w:cs="Arial"/>
                              <w:sz w:val="12"/>
                              <w:szCs w:val="12"/>
                            </w:rPr>
                            <w:t>T: 202-842-4444</w:t>
                          </w:r>
                        </w:p>
                        <w:p w:rsidR="0011252C" w:rsidRPr="00FB6D51" w:rsidRDefault="00272F37" w:rsidP="00912858">
                          <w:pPr>
                            <w:rPr>
                              <w:rFonts w:ascii="Arial" w:hAnsi="Arial" w:cs="Arial"/>
                              <w:sz w:val="12"/>
                              <w:szCs w:val="12"/>
                            </w:rPr>
                          </w:pPr>
                          <w:r w:rsidRPr="00FB6D51">
                            <w:rPr>
                              <w:rFonts w:ascii="Arial" w:hAnsi="Arial" w:cs="Arial"/>
                              <w:sz w:val="12"/>
                              <w:szCs w:val="12"/>
                            </w:rPr>
                            <w:t>F: 202-842-3860</w:t>
                          </w:r>
                        </w:p>
                        <w:p w:rsidR="0011252C" w:rsidRPr="00FB6D51" w:rsidRDefault="00272F37" w:rsidP="00912858">
                          <w:pPr>
                            <w:rPr>
                              <w:rFonts w:ascii="Arial" w:hAnsi="Arial" w:cs="Arial"/>
                              <w:b/>
                              <w:sz w:val="12"/>
                              <w:szCs w:val="12"/>
                            </w:rPr>
                          </w:pPr>
                          <w:r w:rsidRPr="00FB6D51">
                            <w:rPr>
                              <w:rFonts w:ascii="Arial" w:hAnsi="Arial" w:cs="Arial"/>
                              <w:b/>
                              <w:sz w:val="12"/>
                              <w:szCs w:val="12"/>
                            </w:rPr>
                            <w:t>www.ahcancal.org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45pt;margin-top:-.35pt;width:131.2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MCtQIAALk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" filled="f" stroked="f">
              <v:textbox>
                <w:txbxContent>
                  <w:p w:rsidR="0011252C" w:rsidRPr="00FB6D51" w:rsidRDefault="00272F37" w:rsidP="00912858">
                    <w:pPr>
                      <w:rPr>
                        <w:rFonts w:ascii="Arial" w:hAnsi="Arial" w:cs="Arial"/>
                        <w:sz w:val="12"/>
                        <w:szCs w:val="12"/>
                      </w:rPr>
                    </w:pPr>
                    <w:r w:rsidRPr="00FB6D51">
                      <w:rPr>
                        <w:rFonts w:ascii="Arial" w:hAnsi="Arial" w:cs="Arial"/>
                        <w:sz w:val="12"/>
                        <w:szCs w:val="12"/>
                      </w:rPr>
                      <w:t>1201 L Street, NW, Washington, DC 20005</w:t>
                    </w:r>
                  </w:p>
                  <w:p w:rsidR="0011252C" w:rsidRPr="00FB6D51" w:rsidRDefault="00272F37" w:rsidP="00912858">
                    <w:pPr>
                      <w:rPr>
                        <w:rFonts w:ascii="Arial" w:hAnsi="Arial" w:cs="Arial"/>
                        <w:sz w:val="12"/>
                        <w:szCs w:val="12"/>
                      </w:rPr>
                    </w:pPr>
                    <w:r w:rsidRPr="00FB6D51">
                      <w:rPr>
                        <w:rFonts w:ascii="Arial" w:hAnsi="Arial" w:cs="Arial"/>
                        <w:sz w:val="12"/>
                        <w:szCs w:val="12"/>
                      </w:rPr>
                      <w:t>T: 202-842-4444</w:t>
                    </w:r>
                  </w:p>
                  <w:p w:rsidR="0011252C" w:rsidRPr="00FB6D51" w:rsidRDefault="00272F37" w:rsidP="00912858">
                    <w:pPr>
                      <w:rPr>
                        <w:rFonts w:ascii="Arial" w:hAnsi="Arial" w:cs="Arial"/>
                        <w:sz w:val="12"/>
                        <w:szCs w:val="12"/>
                      </w:rPr>
                    </w:pPr>
                    <w:r w:rsidRPr="00FB6D51">
                      <w:rPr>
                        <w:rFonts w:ascii="Arial" w:hAnsi="Arial" w:cs="Arial"/>
                        <w:sz w:val="12"/>
                        <w:szCs w:val="12"/>
                      </w:rPr>
                      <w:t>F: 202-842-3860</w:t>
                    </w:r>
                  </w:p>
                  <w:p w:rsidR="0011252C" w:rsidRPr="00FB6D51" w:rsidRDefault="00272F37" w:rsidP="00912858">
                    <w:pPr>
                      <w:rPr>
                        <w:rFonts w:ascii="Arial" w:hAnsi="Arial" w:cs="Arial"/>
                        <w:b/>
                        <w:sz w:val="12"/>
                        <w:szCs w:val="12"/>
                      </w:rPr>
                    </w:pPr>
                    <w:r w:rsidRPr="00FB6D51">
                      <w:rPr>
                        <w:rFonts w:ascii="Arial" w:hAnsi="Arial" w:cs="Arial"/>
                        <w:b/>
                        <w:sz w:val="12"/>
                        <w:szCs w:val="12"/>
                      </w:rPr>
                      <w:t>www.ahcancal.org</w:t>
                    </w:r>
                  </w:p>
                </w:txbxContent>
              </v:textbox>
            </v:shape>
          </w:pict>
        </mc:Fallback>
      </mc:AlternateContent>
    </w:r>
    <w:r w:rsidR="00272F37">
      <w:rPr>
        <w:noProof/>
      </w:rPr>
      <w:drawing>
        <wp:inline distT="0" distB="0" distL="0" distR="0">
          <wp:extent cx="4197096" cy="502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42.jpg"/>
                  <pic:cNvPicPr/>
                </pic:nvPicPr>
                <pic:blipFill>
                  <a:blip r:embed="rId1">
                    <a:extLst>
                      <a:ext uri="{28A0092B-C50C-407E-A947-70E740481C1C}">
                        <a14:useLocalDpi xmlns:a14="http://schemas.microsoft.com/office/drawing/2010/main" val="0"/>
                      </a:ext>
                    </a:extLst>
                  </a:blip>
                  <a:stretch>
                    <a:fillRect/>
                  </a:stretch>
                </pic:blipFill>
                <pic:spPr>
                  <a:xfrm>
                    <a:off x="0" y="0"/>
                    <a:ext cx="4197096" cy="502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0613"/>
    <w:multiLevelType w:val="hybridMultilevel"/>
    <w:tmpl w:val="7492831C"/>
    <w:lvl w:ilvl="0" w:tplc="CF86BEE2">
      <w:start w:val="1"/>
      <w:numFmt w:val="decimal"/>
      <w:lvlText w:val="%1."/>
      <w:lvlJc w:val="left"/>
      <w:pPr>
        <w:ind w:left="1635" w:hanging="360"/>
      </w:pPr>
    </w:lvl>
    <w:lvl w:ilvl="1" w:tplc="9FD65888" w:tentative="1">
      <w:start w:val="1"/>
      <w:numFmt w:val="lowerLetter"/>
      <w:lvlText w:val="%2."/>
      <w:lvlJc w:val="left"/>
      <w:pPr>
        <w:ind w:left="2355" w:hanging="360"/>
      </w:pPr>
    </w:lvl>
    <w:lvl w:ilvl="2" w:tplc="D98EC7A6" w:tentative="1">
      <w:start w:val="1"/>
      <w:numFmt w:val="lowerRoman"/>
      <w:lvlText w:val="%3."/>
      <w:lvlJc w:val="right"/>
      <w:pPr>
        <w:ind w:left="3075" w:hanging="180"/>
      </w:pPr>
    </w:lvl>
    <w:lvl w:ilvl="3" w:tplc="ADF8B704" w:tentative="1">
      <w:start w:val="1"/>
      <w:numFmt w:val="decimal"/>
      <w:lvlText w:val="%4."/>
      <w:lvlJc w:val="left"/>
      <w:pPr>
        <w:ind w:left="3795" w:hanging="360"/>
      </w:pPr>
    </w:lvl>
    <w:lvl w:ilvl="4" w:tplc="BFCC73C4" w:tentative="1">
      <w:start w:val="1"/>
      <w:numFmt w:val="lowerLetter"/>
      <w:lvlText w:val="%5."/>
      <w:lvlJc w:val="left"/>
      <w:pPr>
        <w:ind w:left="4515" w:hanging="360"/>
      </w:pPr>
    </w:lvl>
    <w:lvl w:ilvl="5" w:tplc="B9D0E86C" w:tentative="1">
      <w:start w:val="1"/>
      <w:numFmt w:val="lowerRoman"/>
      <w:lvlText w:val="%6."/>
      <w:lvlJc w:val="right"/>
      <w:pPr>
        <w:ind w:left="5235" w:hanging="180"/>
      </w:pPr>
    </w:lvl>
    <w:lvl w:ilvl="6" w:tplc="13CE19FE" w:tentative="1">
      <w:start w:val="1"/>
      <w:numFmt w:val="decimal"/>
      <w:lvlText w:val="%7."/>
      <w:lvlJc w:val="left"/>
      <w:pPr>
        <w:ind w:left="5955" w:hanging="360"/>
      </w:pPr>
    </w:lvl>
    <w:lvl w:ilvl="7" w:tplc="8438DE3A" w:tentative="1">
      <w:start w:val="1"/>
      <w:numFmt w:val="lowerLetter"/>
      <w:lvlText w:val="%8."/>
      <w:lvlJc w:val="left"/>
      <w:pPr>
        <w:ind w:left="6675" w:hanging="360"/>
      </w:pPr>
    </w:lvl>
    <w:lvl w:ilvl="8" w:tplc="E86C2F70" w:tentative="1">
      <w:start w:val="1"/>
      <w:numFmt w:val="lowerRoman"/>
      <w:lvlText w:val="%9."/>
      <w:lvlJc w:val="right"/>
      <w:pPr>
        <w:ind w:left="7395" w:hanging="180"/>
      </w:pPr>
    </w:lvl>
  </w:abstractNum>
  <w:abstractNum w:abstractNumId="1" w15:restartNumberingAfterBreak="0">
    <w:nsid w:val="4BD97653"/>
    <w:multiLevelType w:val="hybridMultilevel"/>
    <w:tmpl w:val="42E26ED6"/>
    <w:lvl w:ilvl="0" w:tplc="39605F82">
      <w:start w:val="1"/>
      <w:numFmt w:val="bullet"/>
      <w:lvlText w:val=""/>
      <w:lvlJc w:val="left"/>
      <w:pPr>
        <w:ind w:left="720" w:hanging="360"/>
      </w:pPr>
      <w:rPr>
        <w:rFonts w:ascii="Symbol" w:hAnsi="Symbol" w:hint="default"/>
      </w:rPr>
    </w:lvl>
    <w:lvl w:ilvl="1" w:tplc="6E46D818">
      <w:start w:val="1"/>
      <w:numFmt w:val="bullet"/>
      <w:lvlText w:val="o"/>
      <w:lvlJc w:val="left"/>
      <w:pPr>
        <w:ind w:left="1440" w:hanging="360"/>
      </w:pPr>
      <w:rPr>
        <w:rFonts w:ascii="Courier New" w:hAnsi="Courier New" w:cs="Courier New" w:hint="default"/>
      </w:rPr>
    </w:lvl>
    <w:lvl w:ilvl="2" w:tplc="AF003944">
      <w:start w:val="1"/>
      <w:numFmt w:val="bullet"/>
      <w:lvlText w:val=""/>
      <w:lvlJc w:val="left"/>
      <w:pPr>
        <w:ind w:left="2160" w:hanging="360"/>
      </w:pPr>
      <w:rPr>
        <w:rFonts w:ascii="Wingdings" w:hAnsi="Wingdings" w:hint="default"/>
      </w:rPr>
    </w:lvl>
    <w:lvl w:ilvl="3" w:tplc="774649DA">
      <w:start w:val="1"/>
      <w:numFmt w:val="bullet"/>
      <w:lvlText w:val=""/>
      <w:lvlJc w:val="left"/>
      <w:pPr>
        <w:ind w:left="2880" w:hanging="360"/>
      </w:pPr>
      <w:rPr>
        <w:rFonts w:ascii="Symbol" w:hAnsi="Symbol" w:hint="default"/>
      </w:rPr>
    </w:lvl>
    <w:lvl w:ilvl="4" w:tplc="B1801268">
      <w:start w:val="1"/>
      <w:numFmt w:val="bullet"/>
      <w:lvlText w:val="o"/>
      <w:lvlJc w:val="left"/>
      <w:pPr>
        <w:ind w:left="3600" w:hanging="360"/>
      </w:pPr>
      <w:rPr>
        <w:rFonts w:ascii="Courier New" w:hAnsi="Courier New" w:cs="Courier New" w:hint="default"/>
      </w:rPr>
    </w:lvl>
    <w:lvl w:ilvl="5" w:tplc="5FCC8B06">
      <w:start w:val="1"/>
      <w:numFmt w:val="bullet"/>
      <w:lvlText w:val=""/>
      <w:lvlJc w:val="left"/>
      <w:pPr>
        <w:ind w:left="4320" w:hanging="360"/>
      </w:pPr>
      <w:rPr>
        <w:rFonts w:ascii="Wingdings" w:hAnsi="Wingdings" w:hint="default"/>
      </w:rPr>
    </w:lvl>
    <w:lvl w:ilvl="6" w:tplc="D5E8C40A">
      <w:start w:val="1"/>
      <w:numFmt w:val="bullet"/>
      <w:lvlText w:val=""/>
      <w:lvlJc w:val="left"/>
      <w:pPr>
        <w:ind w:left="5040" w:hanging="360"/>
      </w:pPr>
      <w:rPr>
        <w:rFonts w:ascii="Symbol" w:hAnsi="Symbol" w:hint="default"/>
      </w:rPr>
    </w:lvl>
    <w:lvl w:ilvl="7" w:tplc="37926C94">
      <w:start w:val="1"/>
      <w:numFmt w:val="bullet"/>
      <w:lvlText w:val="o"/>
      <w:lvlJc w:val="left"/>
      <w:pPr>
        <w:ind w:left="5760" w:hanging="360"/>
      </w:pPr>
      <w:rPr>
        <w:rFonts w:ascii="Courier New" w:hAnsi="Courier New" w:cs="Courier New" w:hint="default"/>
      </w:rPr>
    </w:lvl>
    <w:lvl w:ilvl="8" w:tplc="D86897D2">
      <w:start w:val="1"/>
      <w:numFmt w:val="bullet"/>
      <w:lvlText w:val=""/>
      <w:lvlJc w:val="left"/>
      <w:pPr>
        <w:ind w:left="6480" w:hanging="360"/>
      </w:pPr>
      <w:rPr>
        <w:rFonts w:ascii="Wingdings" w:hAnsi="Wingdings" w:hint="default"/>
      </w:rPr>
    </w:lvl>
  </w:abstractNum>
  <w:abstractNum w:abstractNumId="2" w15:restartNumberingAfterBreak="0">
    <w:nsid w:val="56B11B90"/>
    <w:multiLevelType w:val="multilevel"/>
    <w:tmpl w:val="215E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305048"/>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MatterNumber" w:val="20066"/>
  </w:docVars>
  <w:rsids>
    <w:rsidRoot w:val="00272F37"/>
    <w:rsid w:val="00272F37"/>
    <w:rsid w:val="0058618F"/>
    <w:rsid w:val="00E64F95"/>
    <w:rsid w:val="00F54A1B"/>
    <w:rsid w:val="00F83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2F712996-55F7-41DF-B8D7-05196A71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29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395"/>
    <w:pPr>
      <w:tabs>
        <w:tab w:val="center" w:pos="4320"/>
        <w:tab w:val="right" w:pos="8640"/>
      </w:tabs>
    </w:pPr>
  </w:style>
  <w:style w:type="character" w:customStyle="1" w:styleId="HeaderChar">
    <w:name w:val="Header Char"/>
    <w:basedOn w:val="DefaultParagraphFont"/>
    <w:link w:val="Header"/>
    <w:uiPriority w:val="99"/>
    <w:rsid w:val="00BF2395"/>
  </w:style>
  <w:style w:type="paragraph" w:styleId="Footer">
    <w:name w:val="footer"/>
    <w:basedOn w:val="Normal"/>
    <w:link w:val="FooterChar"/>
    <w:uiPriority w:val="99"/>
    <w:unhideWhenUsed/>
    <w:rsid w:val="00BF2395"/>
    <w:pPr>
      <w:tabs>
        <w:tab w:val="center" w:pos="4320"/>
        <w:tab w:val="right" w:pos="8640"/>
      </w:tabs>
    </w:pPr>
  </w:style>
  <w:style w:type="character" w:customStyle="1" w:styleId="FooterChar">
    <w:name w:val="Footer Char"/>
    <w:basedOn w:val="DefaultParagraphFont"/>
    <w:link w:val="Footer"/>
    <w:uiPriority w:val="99"/>
    <w:rsid w:val="00BF2395"/>
  </w:style>
  <w:style w:type="paragraph" w:styleId="BalloonText">
    <w:name w:val="Balloon Text"/>
    <w:basedOn w:val="Normal"/>
    <w:link w:val="BalloonTextChar"/>
    <w:uiPriority w:val="99"/>
    <w:semiHidden/>
    <w:unhideWhenUsed/>
    <w:rsid w:val="00BF23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F2395"/>
    <w:rPr>
      <w:rFonts w:ascii="Lucida Grande" w:hAnsi="Lucida Grande"/>
      <w:sz w:val="18"/>
      <w:szCs w:val="18"/>
    </w:rPr>
  </w:style>
  <w:style w:type="paragraph" w:styleId="Title">
    <w:name w:val="Title"/>
    <w:basedOn w:val="Normal"/>
    <w:next w:val="Normal"/>
    <w:link w:val="TitleChar"/>
    <w:uiPriority w:val="10"/>
    <w:qFormat/>
    <w:rsid w:val="00F811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112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56E47"/>
    <w:rPr>
      <w:rFonts w:cs="Times New Roman"/>
      <w:color w:val="0000FF"/>
      <w:u w:val="single"/>
    </w:rPr>
  </w:style>
  <w:style w:type="paragraph" w:styleId="NormalWeb">
    <w:name w:val="Normal (Web)"/>
    <w:basedOn w:val="Normal"/>
    <w:uiPriority w:val="99"/>
    <w:semiHidden/>
    <w:unhideWhenUsed/>
    <w:rsid w:val="00F43DC4"/>
    <w:pPr>
      <w:spacing w:before="100" w:beforeAutospacing="1" w:after="100" w:afterAutospacing="1"/>
    </w:pPr>
    <w:rPr>
      <w:rFonts w:ascii="Times New Roman" w:eastAsiaTheme="minorHAnsi" w:hAnsi="Times New Roman" w:cs="Times New Roman"/>
    </w:rPr>
  </w:style>
  <w:style w:type="paragraph" w:customStyle="1" w:styleId="FootnoteText1">
    <w:name w:val="Footnote Text1"/>
    <w:basedOn w:val="Normal"/>
    <w:next w:val="FootnoteText"/>
    <w:link w:val="FootnoteTextChar"/>
    <w:uiPriority w:val="99"/>
    <w:semiHidden/>
    <w:unhideWhenUsed/>
    <w:rsid w:val="000A7B90"/>
    <w:rPr>
      <w:sz w:val="20"/>
      <w:szCs w:val="20"/>
    </w:rPr>
  </w:style>
  <w:style w:type="character" w:customStyle="1" w:styleId="FootnoteTextChar">
    <w:name w:val="Footnote Text Char"/>
    <w:basedOn w:val="DefaultParagraphFont"/>
    <w:link w:val="FootnoteText1"/>
    <w:uiPriority w:val="99"/>
    <w:semiHidden/>
    <w:rsid w:val="000A7B90"/>
    <w:rPr>
      <w:sz w:val="20"/>
      <w:szCs w:val="20"/>
    </w:rPr>
  </w:style>
  <w:style w:type="character" w:styleId="FootnoteReference">
    <w:name w:val="footnote reference"/>
    <w:basedOn w:val="DefaultParagraphFont"/>
    <w:uiPriority w:val="99"/>
    <w:semiHidden/>
    <w:unhideWhenUsed/>
    <w:rsid w:val="000A7B90"/>
    <w:rPr>
      <w:vertAlign w:val="superscript"/>
    </w:rPr>
  </w:style>
  <w:style w:type="paragraph" w:styleId="FootnoteText">
    <w:name w:val="footnote text"/>
    <w:basedOn w:val="Normal"/>
    <w:link w:val="FootnoteTextChar1"/>
    <w:uiPriority w:val="99"/>
    <w:semiHidden/>
    <w:unhideWhenUsed/>
    <w:rsid w:val="000A7B90"/>
    <w:rPr>
      <w:sz w:val="20"/>
      <w:szCs w:val="20"/>
    </w:rPr>
  </w:style>
  <w:style w:type="character" w:customStyle="1" w:styleId="FootnoteTextChar1">
    <w:name w:val="Footnote Text Char1"/>
    <w:basedOn w:val="DefaultParagraphFont"/>
    <w:link w:val="FootnoteText"/>
    <w:uiPriority w:val="99"/>
    <w:semiHidden/>
    <w:rsid w:val="000A7B90"/>
    <w:rPr>
      <w:sz w:val="20"/>
      <w:szCs w:val="20"/>
    </w:rPr>
  </w:style>
  <w:style w:type="paragraph" w:styleId="ListParagraph">
    <w:name w:val="List Paragraph"/>
    <w:basedOn w:val="Normal"/>
    <w:uiPriority w:val="34"/>
    <w:qFormat/>
    <w:rsid w:val="00CB43E7"/>
    <w:pPr>
      <w:spacing w:after="200" w:line="276"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52290D"/>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52290D"/>
    <w:rPr>
      <w:rFonts w:ascii="Arial" w:eastAsia="Calibri" w:hAnsi="Arial" w:cs="Arial"/>
      <w:b w:val="0"/>
      <w:i w:val="0"/>
      <w:caps w:val="0"/>
      <w:vanish w:val="0"/>
      <w:color w:val="000000"/>
      <w:sz w:val="12"/>
      <w:u w:val="none"/>
    </w:rPr>
  </w:style>
  <w:style w:type="character" w:styleId="CommentReference">
    <w:name w:val="annotation reference"/>
    <w:basedOn w:val="DefaultParagraphFont"/>
    <w:uiPriority w:val="99"/>
    <w:semiHidden/>
    <w:unhideWhenUsed/>
    <w:rsid w:val="006B603E"/>
    <w:rPr>
      <w:sz w:val="16"/>
      <w:szCs w:val="16"/>
    </w:rPr>
  </w:style>
  <w:style w:type="paragraph" w:styleId="CommentText">
    <w:name w:val="annotation text"/>
    <w:basedOn w:val="Normal"/>
    <w:link w:val="CommentTextChar"/>
    <w:uiPriority w:val="99"/>
    <w:semiHidden/>
    <w:unhideWhenUsed/>
    <w:rsid w:val="006B603E"/>
    <w:rPr>
      <w:sz w:val="20"/>
      <w:szCs w:val="20"/>
    </w:rPr>
  </w:style>
  <w:style w:type="character" w:customStyle="1" w:styleId="CommentTextChar">
    <w:name w:val="Comment Text Char"/>
    <w:basedOn w:val="DefaultParagraphFont"/>
    <w:link w:val="CommentText"/>
    <w:uiPriority w:val="99"/>
    <w:semiHidden/>
    <w:rsid w:val="006B603E"/>
    <w:rPr>
      <w:sz w:val="20"/>
      <w:szCs w:val="20"/>
    </w:rPr>
  </w:style>
  <w:style w:type="paragraph" w:styleId="CommentSubject">
    <w:name w:val="annotation subject"/>
    <w:basedOn w:val="CommentText"/>
    <w:next w:val="CommentText"/>
    <w:link w:val="CommentSubjectChar"/>
    <w:uiPriority w:val="99"/>
    <w:semiHidden/>
    <w:unhideWhenUsed/>
    <w:rsid w:val="006B603E"/>
    <w:rPr>
      <w:b/>
      <w:bCs/>
    </w:rPr>
  </w:style>
  <w:style w:type="character" w:customStyle="1" w:styleId="CommentSubjectChar">
    <w:name w:val="Comment Subject Char"/>
    <w:basedOn w:val="CommentTextChar"/>
    <w:link w:val="CommentSubject"/>
    <w:uiPriority w:val="99"/>
    <w:semiHidden/>
    <w:rsid w:val="006B603E"/>
    <w:rPr>
      <w:b/>
      <w:bCs/>
      <w:sz w:val="20"/>
      <w:szCs w:val="20"/>
    </w:rPr>
  </w:style>
  <w:style w:type="paragraph" w:styleId="Revision">
    <w:name w:val="Revision"/>
    <w:hidden/>
    <w:uiPriority w:val="99"/>
    <w:semiHidden/>
    <w:rsid w:val="00987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dmare@ahca.org"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A3F28DDA509246840C30603BA970A6"/>
        <w:category>
          <w:name w:val="General"/>
          <w:gallery w:val="placeholder"/>
        </w:category>
        <w:types>
          <w:type w:val="bbPlcHdr"/>
        </w:types>
        <w:behaviors>
          <w:behavior w:val="content"/>
        </w:behaviors>
        <w:guid w:val="{F1A668E7-FC28-F04D-85B3-B4C0E2837B60}"/>
      </w:docPartPr>
      <w:docPartBody>
        <w:p w:rsidR="00E5729A" w:rsidRDefault="00000000">
          <w:pPr>
            <w:pStyle w:val="7AA3F28DDA509246840C30603BA970A6"/>
          </w:pPr>
          <w:r>
            <w:t>[Type text]</w:t>
          </w:r>
        </w:p>
      </w:docPartBody>
    </w:docPart>
    <w:docPart>
      <w:docPartPr>
        <w:name w:val="6268E4EDB4D8224AB5B5BB369CA005D6"/>
        <w:category>
          <w:name w:val="General"/>
          <w:gallery w:val="placeholder"/>
        </w:category>
        <w:types>
          <w:type w:val="bbPlcHdr"/>
        </w:types>
        <w:behaviors>
          <w:behavior w:val="content"/>
        </w:behaviors>
        <w:guid w:val="{B349B8A8-5887-784B-BBDC-843778FCA28A}"/>
      </w:docPartPr>
      <w:docPartBody>
        <w:p w:rsidR="00E5729A" w:rsidRDefault="00000000">
          <w:pPr>
            <w:pStyle w:val="6268E4EDB4D8224AB5B5BB369CA005D6"/>
          </w:pPr>
          <w:r>
            <w:t>[Type text]</w:t>
          </w:r>
        </w:p>
      </w:docPartBody>
    </w:docPart>
    <w:docPart>
      <w:docPartPr>
        <w:name w:val="CEDD9D8197B39148B204660AD0316F5A"/>
        <w:category>
          <w:name w:val="General"/>
          <w:gallery w:val="placeholder"/>
        </w:category>
        <w:types>
          <w:type w:val="bbPlcHdr"/>
        </w:types>
        <w:behaviors>
          <w:behavior w:val="content"/>
        </w:behaviors>
        <w:guid w:val="{EC7E3260-BD98-CD4B-AB57-B9D5A73EC6C4}"/>
      </w:docPartPr>
      <w:docPartBody>
        <w:p w:rsidR="00E5729A" w:rsidRDefault="00000000">
          <w:pPr>
            <w:pStyle w:val="CEDD9D8197B39148B204660AD0316F5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A3F28DDA509246840C30603BA970A6">
    <w:name w:val="7AA3F28DDA509246840C30603BA970A6"/>
  </w:style>
  <w:style w:type="paragraph" w:customStyle="1" w:styleId="6268E4EDB4D8224AB5B5BB369CA005D6">
    <w:name w:val="6268E4EDB4D8224AB5B5BB369CA005D6"/>
  </w:style>
  <w:style w:type="paragraph" w:customStyle="1" w:styleId="CEDD9D8197B39148B204660AD0316F5A">
    <w:name w:val="CEDD9D8197B39148B204660AD0316F5A"/>
  </w:style>
  <w:style w:type="paragraph" w:customStyle="1" w:styleId="495FAA759F5F09438FE4373A429A69E1">
    <w:name w:val="495FAA759F5F09438FE4373A429A69E1"/>
  </w:style>
  <w:style w:type="paragraph" w:customStyle="1" w:styleId="D58DBB845C9B304DB7A4DF0317EC52C0">
    <w:name w:val="D58DBB845C9B304DB7A4DF0317EC52C0"/>
  </w:style>
  <w:style w:type="paragraph" w:customStyle="1" w:styleId="E63FE4E691DF3545ACE272C8EAB957ED">
    <w:name w:val="E63FE4E691DF3545ACE272C8EAB957ED"/>
  </w:style>
  <w:style w:type="paragraph" w:customStyle="1" w:styleId="FAED07AE51304A4183F875CFC8E8AE7E">
    <w:name w:val="FAED07AE51304A4183F875CFC8E8AE7E"/>
    <w:rsid w:val="00E5729A"/>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4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De La Mare</dc:creator>
  <cp:lastModifiedBy>Marguerite McLaughlin</cp:lastModifiedBy>
  <cp:revision>2</cp:revision>
  <dcterms:created xsi:type="dcterms:W3CDTF">2016-11-23T13:19:00Z</dcterms:created>
  <dcterms:modified xsi:type="dcterms:W3CDTF">2016-11-23T13:19:00Z</dcterms:modified>
</cp:coreProperties>
</file>